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08" w:rsidRPr="00632A08" w:rsidRDefault="00632A08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632A08">
        <w:rPr>
          <w:rFonts w:ascii="Times New Roman" w:hAnsi="Times New Roman" w:cs="Times New Roman"/>
        </w:rPr>
        <w:t>ПРАВИТЕЛЬСТВО ХАНТЫ-МАНСИЙСКОГО АВТОНОМНОГО ОКРУГА - ЮГРЫ</w:t>
      </w:r>
    </w:p>
    <w:p w:rsidR="00632A08" w:rsidRPr="00632A08" w:rsidRDefault="00632A08">
      <w:pPr>
        <w:pStyle w:val="ConsPlusTitle"/>
        <w:jc w:val="center"/>
        <w:rPr>
          <w:rFonts w:ascii="Times New Roman" w:hAnsi="Times New Roman" w:cs="Times New Roman"/>
        </w:rPr>
      </w:pPr>
    </w:p>
    <w:p w:rsidR="00632A08" w:rsidRPr="00632A08" w:rsidRDefault="00632A08">
      <w:pPr>
        <w:pStyle w:val="ConsPlusTitle"/>
        <w:jc w:val="center"/>
        <w:rPr>
          <w:rFonts w:ascii="Times New Roman" w:hAnsi="Times New Roman" w:cs="Times New Roman"/>
        </w:rPr>
      </w:pPr>
      <w:r w:rsidRPr="00632A08">
        <w:rPr>
          <w:rFonts w:ascii="Times New Roman" w:hAnsi="Times New Roman" w:cs="Times New Roman"/>
        </w:rPr>
        <w:t>ПОСТАНОВЛЕНИЕ</w:t>
      </w:r>
    </w:p>
    <w:p w:rsidR="00632A08" w:rsidRPr="00632A08" w:rsidRDefault="00632A08">
      <w:pPr>
        <w:pStyle w:val="ConsPlusTitle"/>
        <w:jc w:val="center"/>
        <w:rPr>
          <w:rFonts w:ascii="Times New Roman" w:hAnsi="Times New Roman" w:cs="Times New Roman"/>
        </w:rPr>
      </w:pPr>
      <w:r w:rsidRPr="00632A08">
        <w:rPr>
          <w:rFonts w:ascii="Times New Roman" w:hAnsi="Times New Roman" w:cs="Times New Roman"/>
        </w:rPr>
        <w:t>от 27 июня 2014 г. N 229-п</w:t>
      </w:r>
    </w:p>
    <w:p w:rsidR="00632A08" w:rsidRPr="00632A08" w:rsidRDefault="00632A08">
      <w:pPr>
        <w:pStyle w:val="ConsPlusTitle"/>
        <w:jc w:val="center"/>
        <w:rPr>
          <w:rFonts w:ascii="Times New Roman" w:hAnsi="Times New Roman" w:cs="Times New Roman"/>
        </w:rPr>
      </w:pPr>
    </w:p>
    <w:p w:rsidR="00632A08" w:rsidRPr="00632A08" w:rsidRDefault="00632A08">
      <w:pPr>
        <w:pStyle w:val="ConsPlusTitle"/>
        <w:jc w:val="center"/>
        <w:rPr>
          <w:rFonts w:ascii="Times New Roman" w:hAnsi="Times New Roman" w:cs="Times New Roman"/>
        </w:rPr>
      </w:pPr>
      <w:r w:rsidRPr="00632A08">
        <w:rPr>
          <w:rFonts w:ascii="Times New Roman" w:hAnsi="Times New Roman" w:cs="Times New Roman"/>
        </w:rPr>
        <w:t>ОБ УТВЕРЖДЕНИИ ОСНОВНЫХ НАПРАВЛЕНИЙ</w:t>
      </w:r>
    </w:p>
    <w:p w:rsidR="00632A08" w:rsidRPr="00632A08" w:rsidRDefault="00632A08">
      <w:pPr>
        <w:pStyle w:val="ConsPlusTitle"/>
        <w:jc w:val="center"/>
        <w:rPr>
          <w:rFonts w:ascii="Times New Roman" w:hAnsi="Times New Roman" w:cs="Times New Roman"/>
        </w:rPr>
      </w:pPr>
      <w:r w:rsidRPr="00632A08">
        <w:rPr>
          <w:rFonts w:ascii="Times New Roman" w:hAnsi="Times New Roman" w:cs="Times New Roman"/>
        </w:rPr>
        <w:t>АНТИКОРРУПЦИОННОЙ ДЕЯТЕЛЬНОСТИ В ГОСУДАРСТВЕННЫХ УЧРЕЖДЕНИЯХ</w:t>
      </w:r>
    </w:p>
    <w:p w:rsidR="00632A08" w:rsidRPr="00632A08" w:rsidRDefault="00632A08">
      <w:pPr>
        <w:pStyle w:val="ConsPlusTitle"/>
        <w:jc w:val="center"/>
        <w:rPr>
          <w:rFonts w:ascii="Times New Roman" w:hAnsi="Times New Roman" w:cs="Times New Roman"/>
        </w:rPr>
      </w:pPr>
      <w:r w:rsidRPr="00632A08">
        <w:rPr>
          <w:rFonts w:ascii="Times New Roman" w:hAnsi="Times New Roman" w:cs="Times New Roman"/>
        </w:rPr>
        <w:t>И ГОСУДАРСТВЕННЫХ УНИТАРНЫХ ПРЕДПРИЯТИЯХ ХАНТЫ-МАНСИЙСКОГО</w:t>
      </w:r>
    </w:p>
    <w:p w:rsidR="00632A08" w:rsidRPr="00632A08" w:rsidRDefault="00632A08">
      <w:pPr>
        <w:pStyle w:val="ConsPlusTitle"/>
        <w:jc w:val="center"/>
        <w:rPr>
          <w:rFonts w:ascii="Times New Roman" w:hAnsi="Times New Roman" w:cs="Times New Roman"/>
        </w:rPr>
      </w:pPr>
      <w:r w:rsidRPr="00632A08">
        <w:rPr>
          <w:rFonts w:ascii="Times New Roman" w:hAnsi="Times New Roman" w:cs="Times New Roman"/>
        </w:rPr>
        <w:t>АВТОНОМНОГО ОКРУГА - ЮГРЫ, А ТАКЖЕ ХОЗЯЙСТВЕННЫХ ОБЩЕСТВАХ,</w:t>
      </w:r>
    </w:p>
    <w:p w:rsidR="00632A08" w:rsidRPr="00632A08" w:rsidRDefault="00632A08">
      <w:pPr>
        <w:pStyle w:val="ConsPlusTitle"/>
        <w:jc w:val="center"/>
        <w:rPr>
          <w:rFonts w:ascii="Times New Roman" w:hAnsi="Times New Roman" w:cs="Times New Roman"/>
        </w:rPr>
      </w:pPr>
      <w:r w:rsidRPr="00632A08">
        <w:rPr>
          <w:rFonts w:ascii="Times New Roman" w:hAnsi="Times New Roman" w:cs="Times New Roman"/>
        </w:rPr>
        <w:t>ТОВАРИЩЕСТВАХ, ФОНДАХ, АВТОНОМНЫХ НЕКОММЕРЧЕСКИХ</w:t>
      </w:r>
    </w:p>
    <w:p w:rsidR="00632A08" w:rsidRPr="00632A08" w:rsidRDefault="00632A08">
      <w:pPr>
        <w:pStyle w:val="ConsPlusTitle"/>
        <w:jc w:val="center"/>
        <w:rPr>
          <w:rFonts w:ascii="Times New Roman" w:hAnsi="Times New Roman" w:cs="Times New Roman"/>
        </w:rPr>
      </w:pPr>
      <w:r w:rsidRPr="00632A08">
        <w:rPr>
          <w:rFonts w:ascii="Times New Roman" w:hAnsi="Times New Roman" w:cs="Times New Roman"/>
        </w:rPr>
        <w:t>ОРГАНИЗАЦИЯХ, ЕДИНСТВЕННЫМ УЧРЕДИТЕЛЕМ (УЧАСТНИКОМ) КОТОРЫХ</w:t>
      </w:r>
    </w:p>
    <w:p w:rsidR="00632A08" w:rsidRPr="00632A08" w:rsidRDefault="00632A08">
      <w:pPr>
        <w:pStyle w:val="ConsPlusTitle"/>
        <w:jc w:val="center"/>
        <w:rPr>
          <w:rFonts w:ascii="Times New Roman" w:hAnsi="Times New Roman" w:cs="Times New Roman"/>
        </w:rPr>
      </w:pPr>
      <w:r w:rsidRPr="00632A08">
        <w:rPr>
          <w:rFonts w:ascii="Times New Roman" w:hAnsi="Times New Roman" w:cs="Times New Roman"/>
        </w:rPr>
        <w:t>ЯВЛЯЕТСЯ ХАНТЫ-МАНСИЙСКИЙ АВТОНОМНЫЙ ОКРУГ - ЮГРА</w:t>
      </w:r>
    </w:p>
    <w:p w:rsidR="00632A08" w:rsidRDefault="00632A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2A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2A08" w:rsidRDefault="00632A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A08" w:rsidRDefault="00632A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04.08.2017 N 302-п)</w:t>
            </w:r>
          </w:p>
        </w:tc>
      </w:tr>
    </w:tbl>
    <w:p w:rsidR="00632A08" w:rsidRDefault="00632A08">
      <w:pPr>
        <w:pStyle w:val="ConsPlusNormal"/>
        <w:jc w:val="center"/>
      </w:pPr>
    </w:p>
    <w:p w:rsidR="00632A08" w:rsidRPr="00632A08" w:rsidRDefault="00632A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</w:t>
      </w:r>
      <w:hyperlink r:id="rId6" w:history="1">
        <w:r w:rsidRPr="00632A0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распоряжения</w:t>
        </w:r>
      </w:hyperlink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Ханты-Мансийского автономного округа - Югры от 30 января 2014 года N 45-рг "Об утверждении Плана противодействия коррупции в Ханты-Мансийском автономном округе - Югре на 2014 - 2015 годы" Правительство Ханты-Мансийского автономного округа - Югры постановляет: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основные </w:t>
      </w:r>
      <w:hyperlink w:anchor="P35" w:history="1">
        <w:r w:rsidRPr="00632A08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направления</w:t>
        </w:r>
      </w:hyperlink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антикоррупционной деятельности в государственных учреждениях и государственных унитарных предприятиях Ханты-Мансийского автономного округа - Югры, а также хозяйственных обществах, товариществах, фондах, автономных некоммерческих организациях, единственным учредителем (участником) которых является Ханты-Мансийский автономный округ - Югра (приложение).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2. Государственным учреждениям и государственным унитарным предприятиям Ханты-Мансийского автономного округа - Югры, а также хозяйственным обществам, товариществам, фондам, автономным некоммерческим организациям, единственным учредителем (участником) которых является Ханты-Мансийский автономный округ - Югра, руководствоваться настоящим постановлением при организации антикоррупционной деятельности.</w:t>
      </w:r>
    </w:p>
    <w:p w:rsidR="00632A08" w:rsidRPr="00632A08" w:rsidRDefault="00632A0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</w:t>
      </w:r>
    </w:p>
    <w:p w:rsidR="00632A08" w:rsidRPr="00632A08" w:rsidRDefault="00632A0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</w:t>
      </w:r>
    </w:p>
    <w:p w:rsidR="00632A08" w:rsidRPr="00632A08" w:rsidRDefault="00632A0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автономного округа - Югры</w:t>
      </w:r>
    </w:p>
    <w:p w:rsidR="00632A08" w:rsidRPr="00632A08" w:rsidRDefault="00632A0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Н.В.КОМАРОВА</w:t>
      </w:r>
    </w:p>
    <w:p w:rsidR="00632A08" w:rsidRPr="00632A08" w:rsidRDefault="00632A0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Default="00632A0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Default="00632A0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632A08" w:rsidRPr="00632A08" w:rsidRDefault="00632A0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Правительства</w:t>
      </w:r>
    </w:p>
    <w:p w:rsidR="00632A08" w:rsidRPr="00632A08" w:rsidRDefault="00632A0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Ханты-Мансийского</w:t>
      </w:r>
    </w:p>
    <w:p w:rsidR="00632A08" w:rsidRPr="00632A08" w:rsidRDefault="00632A0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автономного округа - Югры</w:t>
      </w:r>
    </w:p>
    <w:p w:rsidR="00632A08" w:rsidRPr="00632A08" w:rsidRDefault="00632A0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от 27 июня 2014 года N 229-п</w:t>
      </w:r>
    </w:p>
    <w:p w:rsidR="00632A08" w:rsidRPr="00632A08" w:rsidRDefault="00632A08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bookmarkStart w:id="1" w:name="P35"/>
      <w:bookmarkEnd w:id="1"/>
      <w:r w:rsidRPr="00632A08">
        <w:rPr>
          <w:rFonts w:ascii="Times New Roman" w:hAnsi="Times New Roman" w:cs="Times New Roman"/>
          <w:color w:val="000000" w:themeColor="text1"/>
          <w:szCs w:val="22"/>
        </w:rPr>
        <w:t>ОСНОВНЫЕ НАПРАВЛЕНИЯ</w:t>
      </w:r>
    </w:p>
    <w:p w:rsidR="00632A08" w:rsidRPr="00632A08" w:rsidRDefault="00632A08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632A08">
        <w:rPr>
          <w:rFonts w:ascii="Times New Roman" w:hAnsi="Times New Roman" w:cs="Times New Roman"/>
          <w:color w:val="000000" w:themeColor="text1"/>
          <w:szCs w:val="22"/>
        </w:rPr>
        <w:t>АНТИКОРРУПЦИОННОЙ ДЕЯТЕЛЬНОСТИ В ГОСУДАРСТВЕННЫХ УЧРЕЖДЕНИЯХ</w:t>
      </w:r>
    </w:p>
    <w:p w:rsidR="00632A08" w:rsidRPr="00632A08" w:rsidRDefault="00632A08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632A08">
        <w:rPr>
          <w:rFonts w:ascii="Times New Roman" w:hAnsi="Times New Roman" w:cs="Times New Roman"/>
          <w:color w:val="000000" w:themeColor="text1"/>
          <w:szCs w:val="22"/>
        </w:rPr>
        <w:t>И ГОСУДАРСТВЕННЫХ УНИТАРНЫХ ПРЕДПРИЯТИЯХ ХАНТЫ-МАНСИЙСКОГО</w:t>
      </w:r>
    </w:p>
    <w:p w:rsidR="00632A08" w:rsidRPr="00632A08" w:rsidRDefault="00632A08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632A08">
        <w:rPr>
          <w:rFonts w:ascii="Times New Roman" w:hAnsi="Times New Roman" w:cs="Times New Roman"/>
          <w:color w:val="000000" w:themeColor="text1"/>
          <w:szCs w:val="22"/>
        </w:rPr>
        <w:t>АВТОНОМНОГО ОКРУГА - ЮГРЫ, А ТАКЖЕ ХОЗЯЙСТВЕННЫХ ОБЩЕСТВАХ,</w:t>
      </w:r>
    </w:p>
    <w:p w:rsidR="00632A08" w:rsidRPr="00632A08" w:rsidRDefault="00632A08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632A08">
        <w:rPr>
          <w:rFonts w:ascii="Times New Roman" w:hAnsi="Times New Roman" w:cs="Times New Roman"/>
          <w:color w:val="000000" w:themeColor="text1"/>
          <w:szCs w:val="22"/>
        </w:rPr>
        <w:t>ТОВАРИЩЕСТВАХ, ФОНДАХ, АВТОНОМНЫХ НЕКОММЕРЧЕСКИХ</w:t>
      </w:r>
    </w:p>
    <w:p w:rsidR="00632A08" w:rsidRPr="00632A08" w:rsidRDefault="00632A08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632A08">
        <w:rPr>
          <w:rFonts w:ascii="Times New Roman" w:hAnsi="Times New Roman" w:cs="Times New Roman"/>
          <w:color w:val="000000" w:themeColor="text1"/>
          <w:szCs w:val="22"/>
        </w:rPr>
        <w:t>ОРГАНИЗАЦИЯХ, ЕДИНСТВЕННЫМ УЧРЕДИТЕЛЕМ (УЧАСТНИКОМ) КОТОРЫХ</w:t>
      </w:r>
    </w:p>
    <w:p w:rsidR="00632A08" w:rsidRPr="00632A08" w:rsidRDefault="00632A08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632A08">
        <w:rPr>
          <w:rFonts w:ascii="Times New Roman" w:hAnsi="Times New Roman" w:cs="Times New Roman"/>
          <w:color w:val="000000" w:themeColor="text1"/>
          <w:szCs w:val="22"/>
        </w:rPr>
        <w:t>ЯВЛЯЕТСЯ ХАНТЫ-МАНСИЙСКИЙ АВТОНОМНЫЙ ОКРУГ - ЮГРА</w:t>
      </w:r>
    </w:p>
    <w:p w:rsidR="00632A08" w:rsidRPr="00632A08" w:rsidRDefault="00632A08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2A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2A08" w:rsidRDefault="00632A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A08" w:rsidRDefault="00632A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04.08.2017 N 302-п)</w:t>
            </w:r>
          </w:p>
        </w:tc>
      </w:tr>
    </w:tbl>
    <w:p w:rsidR="00632A08" w:rsidRDefault="00632A08">
      <w:pPr>
        <w:pStyle w:val="ConsPlusNormal"/>
        <w:jc w:val="center"/>
      </w:pPr>
    </w:p>
    <w:p w:rsidR="00632A08" w:rsidRPr="00632A08" w:rsidRDefault="00632A0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I. Основные принципы противодействия коррупции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в государственных учреждениях и государственных унитарных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предприятиях Ханты-Мансийского автономного округа - Югры,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а также в хозяйственных обществах, товариществах, фондах,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автономных некоммерческих организациях,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единственным учредителем (участником) которых является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Ханты-Мансийский автономный округ - Югра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(далее - организации)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Противодействие коррупции в организациях основывается на следующих принципах: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1. Соответствия политики организации действующему законодательству и общепринятым нормам.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2. Личного примера руководства.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3. Вовлеченности работников.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4. Соразмерности антикоррупционных процедур риску коррупции.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5. Эффективности антикоррупционных процедур.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6. Ответственности и неотвратимости наказания.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7. Постоянного контроля и регулярного мониторинга.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II. Организация антикоррупционной деятельности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потребностей, задач, специфики деятельности, штатной численности, организационной структуры, материальных ресурсов и других </w:t>
      </w: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факторов в организации определяется структурное подразделение или должностные лица, ответственные за противодействие коррупции.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Задачи, функции и полномочия структурного подразделения или должностных лиц, ответственных за противодействие коррупции, определяются: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в нормативных документах, устанавливающих антикоррупционные процедуры;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в трудовых договорах и должностных инструкциях ответственных работников;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в положении о подразделении, ответственном за противодействие коррупции.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структурные подразделения или должностные лица непосредственно подчиняются руководству организации, а также наделяются полномочиями, достаточными для проведения антикоррупционных мероприятий в отношении лиц, занимающих руководящие должности в организации. Штатная численность структурного подразделения или должностных лиц, ответственных за противодействие коррупции, должна быть достаточной для выполнения возложенных на подразделение функций.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 структурного подразделения или должностных лиц, ответственных за противодействие коррупции, включают в себя: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разработку и представление на утверждение руководителю организации проектов 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 т.д.);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контрольных мероприятий, направленных на выявление коррупционных правонарушений, совершенных работниками организации;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проведения оценки коррупционных рисков;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заполнения и рассмотрения декларации конфликта интересов;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оценки результатов антикоррупционной работы и подготовки соответствующих отчетных материалов руководству организации.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Структурным подразделением или должностными лицами, ответственными за противодействие коррупции, разрабатывается перечень мероприятий, которые организация будет реализовывать в целях предупреждения и противодействия коррупции. Перечень мероприятий зависит от потребностей и возможностей организации.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III. Направления антикоррупционной деятельности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1. Установление обязанностей работников и организации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по предупреждению и противодействию коррупции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предупреждения и противодействия коррупции все работники организации обязаны: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незамедлительно информировать работодателя о случаях склонения к совершению коррупционных правонарушений;</w:t>
      </w:r>
    </w:p>
    <w:p w:rsidR="00632A08" w:rsidRPr="00632A08" w:rsidRDefault="00632A0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8" w:history="1">
        <w:r w:rsidRPr="00632A0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ХМАО - Югры от 04.08.2017 N 302-п)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незамедлительно информировать работодателя о ставшей известной ему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632A08" w:rsidRPr="00632A08" w:rsidRDefault="00632A0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9" w:history="1">
        <w:r w:rsidRPr="00632A0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ХМАО - Югры от 04.08.2017 N 302-п)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сообщить непосредственному начальнику (либо должностному лицу, ответственному за противодействие коррупции, либо структурному подразделению) о возможности возникновения либо возникшем конфликте </w:t>
      </w: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интересов.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Для отдельных категорий лиц, работающих в организации (руководители, должностные лица, ответственные за противодействие коррупции, работники, чья деятельность связана с коррупционными рисками, лица, осуществляющие внутренний контроль и аудит), устанавливаются специальные обязанности.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исполнения работниками возложенных на них обязанностей по предупреждению и противодействию коррупции процедуры их соблюдения регламентируются.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Как общие, так и специальные обязанности включаются в трудовой договор работника.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2. Оценка коррупционных рисков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Целью оценки коррупционных рисков является определение тех процессов и операций в деятельности организации,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выгоды, так и в целях получения выгоды организацией.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Оценка коррупционных рисков проводится по следующему алгоритму: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а) деятельность организации представляется в виде отдельных процессов, в каждом из которых выделяются составные элементы (подпроцессы);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б) для каждого процесса определяются элементы (подпроцессы), при реализации которых наиболее вероятно возникновение коррупционных правонарушений (критические точки);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в) для каждого подпроцесса,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характеристику выгоды или преимущества, которое может быть получено организацией или ее отдельными работниками при совершении коррупционного правонарушения;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 в организации, которые являются ключевыми для совершения коррупционного правонарушения (участие каких должностных лиц организации необходимо, чтобы совершение коррупционного правонарушения стало возможным);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вероятные формы осуществления коррупционных платежей;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на основании проведенного анализа составляется карта коррупционных рисков организации - сводное описание критических точек и возможных коррупционных правонарушений;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д) формируется перечень должностей, связанных с высоким коррупционным риском;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е) для каждой критической точки разрабатывается комплекс мер по устранению или минимизации коррупционных рисков. В зависимости от специфики конкретной организации и процесса эти меры включают в себя: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детальную регламентацию способа и сроков совершения действий работником в критической точке;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реинжиниринг функций, в том числе их перераспределение между структурными подразделениями внутри организации;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или расширение процессуальных форм внешнего взаимодействия работников организации (с представителями контрагентов организации, органов государственной власти),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дополнительных форм отчетности работников о результатах принятых решений;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ограничений, затрудняющих осуществление коррупционных платежей и т.д.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3. Выявление и урегулирование конфликта интересов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В основу работы по управлению конфликтом интересов в организации положены следующие принципы: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</w:t>
      </w: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(предотвращен) организацией.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Понятие "конфликт интересов" применительно к организациям закреплено в </w:t>
      </w:r>
      <w:hyperlink r:id="rId10" w:history="1">
        <w:r w:rsidRPr="00632A0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10</w:t>
        </w:r>
      </w:hyperlink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года N 273-ФЗ "О противодействии коррупции". В зависимости от организационно-правовой формы, а также в отдельных сферах деятельности законодательством Российской Федерации установлены специальные запреты и ограничения.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С целью урегулирования и предотвращения конфликта интересов в деятельности работников в организации разрабатывается и утверждается соответствующее положение либо соответствующий детализированный раздел включается в действующий в организации кодекс этики и служебного поведения работников организации (далее - кодекс этики).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конфликте интересов - это локальный нормативный акт организации,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 В положение о конфликте интересов включаются следующие аспекты: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цели и задачи положения о конфликте интересов;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в положении понятия и определения;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круг лиц, на которых оно распространяет свое действие;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принципы управления конфликтом интересов в организации;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порядок выявления конфликта интересов работником организации и порядок его урегулирования, в том числе возможные способы его разрешения (заполнение декларации конфликта интересов по форме, разработанной и утвержденной организацией в Положении о конфликте интересов);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лиц, ответственных за прием сведений о конфликте интересов, и рассмотрение этих сведений;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При принятии решений по деловым вопросам и выполнении своих трудовых обязанностей работники организации обязаны: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 и друзей;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избегать ситуаций и обстоятельств, которые могут привести к конфликту интересов;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раскрывать возникший (реальный) или потенциальный конфликт интересов;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содействовать урегулированию конфликта интересов.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Процедура раскрытия конфликта интересов утверждается локальным нормативным актом организации и доводится до сведения всех работников организации. Данным актом определяется должностное лицо, ответственное за прием сведений о конфликте интересов (непосредственный руководитель, сотрудник кадровой службы, лицо, ответственное за противодействие коррупции).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Раскрытие осуществляется в письменной форме.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возможности возникновения конфликта интересов (декларация конфликта интересов) представляется: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при приеме на работу;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при назначении на новую должность;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по мере возникновения ситуации конфликта интересов.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Допустимо первоначальное раскрытие конфликта интересов в устной форме, с последующей фиксацией в письменном виде.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интересов, в том числе в виде: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ограничения доступа работника к конкретной информации, которая может затрагивать личные интересы работника;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добровольного отказа работника организации или его отстранения (постоянного или временного) от участия в обсуждении и процессе принятия </w:t>
      </w: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решений по вопросам, которые находятся или могут находиться под влиянием конфликта интересов;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пересмотра и изменения функциональных обязанностей работника;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временного отстранения работника от должности, если его личные интересы входят в противоречие с функциональными обязанностями;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перевода работника на должность, предусматривающую выполнение функциональных обязанностей, не связанных с конфликтом интересов;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передачи работником принадлежащего ему имущества, являющегося причиной конфликта интересов, в доверительное управление;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отказа работника от своего личного интереса, порождающего конфликт с интересами организации;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увольнения работника по собственной инициативе;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увольнения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иные способы разрешения конфликта интересов.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4. Разработка и внедрение в практику стандартов и процедур,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 на обеспечение добросовестной работы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В целях внедрения антикоррупционных стандартов поведения работников в корпоративную культуру в организации разрабатывается кодекс этики и служебного поведения работников организации. В него включаются положения, устанавливающие правила и стандарты поведения работников, затрагивающие общую этику деловых отношений и направленные на формирование этичного, добросовестного поведения работников, а также правила и процедуру внедрения в практику деятельности организации.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Кодекс этики формируется исходя из потребностей, задач и специфики деятельности организации, закрепляет общие ценности, принципы и правила поведения, а также специальные, направленные на регулирование поведения в отдельных сферах.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5. Консультирование и обучение работников организации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организации обучения работников по вопросам профилактики и противодействия коррупции определяются категория обучаемых, вид </w:t>
      </w: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обучения в зависимости от времени его проведения.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 обучаемых: должностные лица, ответственные за противодействие коррупции, руководители различных уровней, иные работники организации.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Виды обучения в зависимости от времени его проведения: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по вопросам профилактики и противодействия коррупции непосредственно после приема на работу;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при назначении работника на иную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обучение в случае выявления пробелов в реализации антикоррупционной политики, одной из причин которых является недостаточность знаний и навыков в сфере противодействия коррупции.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лицами, ответственными за противодействие коррупции.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6. Внутренний контроль и аудит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Система внутреннего контроля и аудита, учитывающая требования антикоррупционной политики, реализуемой организацией, включает в себя: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проверку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проверку экономической обоснованности осуществляемых операций в сферах коррупционного риска.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реализации организационных процедур и правил деятельности, значимых с точки зрения работы по профилактике и предупреждению коррупции, включает в себя проверку специальных антикоррупционных правил и процедур, а также проверку иных правил и процедур, имеющих опосредованное значение.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Контроль документирования операций хозяйственной деятельности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В ходе проверки устанавливаются обстоятельства - индикаторы неправомерных действий: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оплата услуг, характер которых не определен либо вызывает сомнения;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закупки или продажи по ценам, значительно отличающимся от рыночных;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сомнительные платежи наличными.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проводимых антикоррупционных мероприятий проводится мониторинг соблюдения законодательства, регулирующего противодействие легализации денежных средств, полученных незаконным способом, в том числе в части: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приобретения, владения или использования имущества, если известно, что оно представляет собой доход от преступлений;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сокрытия или утаивания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1" w:history="1">
        <w:r w:rsidRPr="00632A0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 установлен перечень организаций, обязанных участвовать в исполнении требований указанного </w:t>
      </w: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Федерального </w:t>
      </w:r>
      <w:hyperlink r:id="rId12" w:history="1">
        <w:r w:rsidRPr="00632A08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Организации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противодействие коррупции.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7. Принятие мер по предупреждению коррупции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при взаимодействии с организациями-контрагентами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и в зависимых организациях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В целях снижения риска вовлечения организации в коррупционную деятельность и иные недобросовестные практики в ходе отношений с контрагентами в организации внедряются специальные процедуры проверки контрагентов. 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организации. Положения о соблюдении антикоррупционных стандартов включаются в договоры, заключаемые с организациями-контрагентами.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8. Взаимодействие с государственными органами,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осуществляющими контрольно-надзорные функции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с представителями государственных органов, реализующих контрольно-надзорные функции в отношении организации, связано с высокими коррупционными рисками.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На государственных служащих, осуществляющих контрольно-надзорные мероприятия (далее -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Работники организации обязаны воздерживаться от предложения и </w:t>
      </w: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попыток передачи государственным служащим подарков, включая подарки, стоимость которых составляет менее трех тысяч рублей.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организации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о приеме на работу в организацию (а также в аффилированные организации) государственного служащего или членов его семьи, включая предложения о приеме на работу после увольнения с государственной службы;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о приобретении государственным служащим или членами его семьи акций или иных ценных бумаг организации (или аффилированных организаций);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о передаче в пользование государственному служащему или членам его семьи любой собственности, принадлежащей организации (или аффилированной организации);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о заключении организацией контракта на выполнение тех или иных работ с организациями, в которых работают члены семьи государственного служащего.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При нарушении государственными служащими требований к их служебному поведению, при возникновении ситуаций испрашивания или вымогательства взятки с их стороны работник организации обязан незамедлительно обратиться в государственный орган, осуществляющий контрольно-надзорные функции, и правоохранительные органы.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 подзаконным нормативным правовым актам Российской Федерации.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9. Сотрудничество с правоохранительными органами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в сфере противодействия коррупции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принимает на себя обязательство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закрепляется за должностным лицом, ответственным за противодействие коррупции.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принимает на себя обязательство воздерживаться от каких-</w:t>
      </w: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Сотрудничество с правоохранительными органами осуществляется также в следующих формах: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Руководство и работники организации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10. Участие в коллективных инициативах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по противодействию коррупции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принимают участие в коллективных антикоррупционных инициативах, в том числе в форме: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присоединения к Антикоррупционной хартии российского бизнеса, Общественному антикоррупционному договору;</w:t>
      </w:r>
    </w:p>
    <w:p w:rsidR="00632A08" w:rsidRPr="00632A08" w:rsidRDefault="00632A0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3" w:history="1">
        <w:r w:rsidRPr="00632A0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ХМАО - Югры от 04.08.2017 N 302-п)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в совместных договорах стандартных антикоррупционных положений;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публичного отказа от совместной деятельности с лицами (организациями), замешанными в коррупционных преступлениях;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и проведения совместного обучения по вопросам профилактики и противодействия коррупции.</w:t>
      </w:r>
    </w:p>
    <w:p w:rsidR="00632A08" w:rsidRPr="00632A08" w:rsidRDefault="00632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 профилактики и противодействия коррупции организации взаимодействуют с общественными объединениями, в том числе региональными отделениями Торгово-промышленной палаты Российской Федерации, Общероссийской общественной организации "Деловая Россия", Общественной палатой Ханты-Мансийского автономного округа - Югры, </w:t>
      </w: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общественными советами, созданными при исполнительных органах государственной власти Ханты-Мансийского автономного округа - Югры, органах местного самоуправления муниципальных образований Ханты-Мансийского автономного округа - Югры.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>11. Анализ эффективности мер по противодействию коррупции</w:t>
      </w:r>
    </w:p>
    <w:p w:rsidR="00632A08" w:rsidRPr="00632A08" w:rsidRDefault="00632A0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2A08" w:rsidRPr="00632A08" w:rsidRDefault="00632A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структурное подразделение или должностное лицо, ответственное за противодействие коррупции, проводит оценку результатов антикоррупционных мероприятий на основании принципа соразмерности антикоррупционных процедур риску коррупции с учетом Методических </w:t>
      </w:r>
      <w:hyperlink r:id="rId14" w:history="1">
        <w:r w:rsidRPr="00632A08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рекомендаций</w:t>
        </w:r>
      </w:hyperlink>
      <w:r w:rsidRPr="00632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и осуществляет подготовку предложений руководителю организации по повышению эффективности антикоррупционной работы.</w:t>
      </w:r>
    </w:p>
    <w:p w:rsidR="00632A08" w:rsidRDefault="00632A08">
      <w:pPr>
        <w:pStyle w:val="ConsPlusNormal"/>
      </w:pPr>
    </w:p>
    <w:p w:rsidR="008259E1" w:rsidRDefault="00B029DA"/>
    <w:sectPr w:rsidR="008259E1" w:rsidSect="00E10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08"/>
    <w:rsid w:val="00632A08"/>
    <w:rsid w:val="00B029DA"/>
    <w:rsid w:val="00B2731F"/>
    <w:rsid w:val="00FD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2A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2A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987175712AA57FF19379E8667AEA3BA601EFD7D0DABB31F6C78093185732448092736A448F4A2917EF3E7466AA37BFD9044070BDBDBD3394E33F5kAoDG" TargetMode="External"/><Relationship Id="rId13" Type="http://schemas.openxmlformats.org/officeDocument/2006/relationships/hyperlink" Target="consultantplus://offline/ref=343987175712AA57FF19379E8667AEA3BA601EFD7D0DABB31F6C78093185732448092736A448F4A2917EF3E7496AA37BFD9044070BDBDBD3394E33F5kAo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3987175712AA57FF19379E8667AEA3BA601EFD7D0DABB31F6C78093185732448092736A448F4A2917EF3E7456AA37BFD9044070BDBDBD3394E33F5kAoDG" TargetMode="External"/><Relationship Id="rId12" Type="http://schemas.openxmlformats.org/officeDocument/2006/relationships/hyperlink" Target="consultantplus://offline/ref=343987175712AA57FF192993900BF9ACBE6246F87E0CA5ED4B3B7E5E6ED575711A49796FE504E7A39360F1E741k6o8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3987175712AA57FF19379E8667AEA3BA601EFD7D0AACBD106778093185732448092736B648ACAE9376EDE7427FF52AB8kCoCG" TargetMode="External"/><Relationship Id="rId11" Type="http://schemas.openxmlformats.org/officeDocument/2006/relationships/hyperlink" Target="consultantplus://offline/ref=343987175712AA57FF192993900BF9ACBE6246F87E0CA5ED4B3B7E5E6ED5757108492163E70CF9A19875A7B60434FA28B1DB49071DC7DBD0k2oEG" TargetMode="External"/><Relationship Id="rId5" Type="http://schemas.openxmlformats.org/officeDocument/2006/relationships/hyperlink" Target="consultantplus://offline/ref=343987175712AA57FF19379E8667AEA3BA601EFD7D0DABB31F6C78093185732448092736A448F4A2917EF3E7456AA37BFD9044070BDBDBD3394E33F5kAoD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43987175712AA57FF192993900BF9ACBF6A40F17F0DA5ED4B3B7E5E6ED5757108492163E70CF9AA9575A7B60434FA28B1DB49071DC7DBD0k2o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3987175712AA57FF19379E8667AEA3BA601EFD7D0DABB31F6C78093185732448092736A448F4A2917EF3E7486AA37BFD9044070BDBDBD3394E33F5kAoDG" TargetMode="External"/><Relationship Id="rId14" Type="http://schemas.openxmlformats.org/officeDocument/2006/relationships/hyperlink" Target="consultantplus://offline/ref=343987175712AA57FF192993900BF9ACBD6E44F2750AA5ED4B3B7E5E6ED575711A49796FE504E7A39360F1E741k6o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4403</Words>
  <Characters>25102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 Екатерина Геннадьевна</dc:creator>
  <cp:lastModifiedBy>Алена</cp:lastModifiedBy>
  <cp:revision>2</cp:revision>
  <dcterms:created xsi:type="dcterms:W3CDTF">2020-02-21T08:46:00Z</dcterms:created>
  <dcterms:modified xsi:type="dcterms:W3CDTF">2020-02-21T08:46:00Z</dcterms:modified>
</cp:coreProperties>
</file>